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101F4" w14:textId="77777777" w:rsidR="00FF6DDC" w:rsidRDefault="00000000">
      <w:pPr>
        <w:pStyle w:val="Title"/>
        <w:rPr>
          <w:rFonts w:ascii="Arial" w:eastAsia="Arial" w:hAnsi="Arial" w:cs="Arial"/>
          <w:color w:val="000000"/>
        </w:rPr>
      </w:pPr>
      <w:r>
        <w:rPr>
          <w:rFonts w:ascii="Arial" w:eastAsia="Arial" w:hAnsi="Arial" w:cs="Arial"/>
          <w:color w:val="000000"/>
        </w:rPr>
        <w:t xml:space="preserve">Open </w:t>
      </w:r>
      <w:proofErr w:type="spellStart"/>
      <w:r>
        <w:rPr>
          <w:rFonts w:ascii="Arial" w:eastAsia="Arial" w:hAnsi="Arial" w:cs="Arial"/>
          <w:color w:val="000000"/>
        </w:rPr>
        <w:t>Finance</w:t>
      </w:r>
      <w:proofErr w:type="spellEnd"/>
      <w:r>
        <w:rPr>
          <w:rFonts w:ascii="Arial" w:eastAsia="Arial" w:hAnsi="Arial" w:cs="Arial"/>
          <w:color w:val="000000"/>
        </w:rPr>
        <w:t>: la nueva misión en la transformación del sector financiero</w:t>
      </w:r>
    </w:p>
    <w:p w14:paraId="0844BF8A" w14:textId="77777777" w:rsidR="00FF6DDC" w:rsidRDefault="00FF6DDC"/>
    <w:p w14:paraId="5074D910" w14:textId="77777777" w:rsidR="00FF6DDC" w:rsidRDefault="00000000">
      <w:pPr>
        <w:rPr>
          <w:b/>
          <w:i/>
          <w:color w:val="000000"/>
        </w:rPr>
      </w:pPr>
      <w:r>
        <w:rPr>
          <w:b/>
          <w:i/>
          <w:color w:val="000000"/>
        </w:rPr>
        <w:t xml:space="preserve">Por: Raymundo Ramírez Rochin, </w:t>
      </w:r>
      <w:proofErr w:type="gramStart"/>
      <w:r>
        <w:rPr>
          <w:b/>
          <w:i/>
          <w:color w:val="000000"/>
        </w:rPr>
        <w:t>Director</w:t>
      </w:r>
      <w:proofErr w:type="gramEnd"/>
      <w:r>
        <w:rPr>
          <w:b/>
          <w:i/>
          <w:color w:val="000000"/>
        </w:rPr>
        <w:t xml:space="preserve"> de Business </w:t>
      </w:r>
      <w:proofErr w:type="spellStart"/>
      <w:r>
        <w:rPr>
          <w:b/>
          <w:i/>
          <w:color w:val="000000"/>
        </w:rPr>
        <w:t>Consulting</w:t>
      </w:r>
      <w:proofErr w:type="spellEnd"/>
      <w:r>
        <w:rPr>
          <w:b/>
          <w:i/>
          <w:color w:val="000000"/>
        </w:rPr>
        <w:t xml:space="preserve"> en </w:t>
      </w:r>
      <w:proofErr w:type="spellStart"/>
      <w:r>
        <w:rPr>
          <w:b/>
          <w:i/>
          <w:color w:val="000000"/>
        </w:rPr>
        <w:t>Minsait</w:t>
      </w:r>
      <w:proofErr w:type="spellEnd"/>
      <w:r>
        <w:rPr>
          <w:b/>
          <w:i/>
          <w:color w:val="000000"/>
        </w:rPr>
        <w:t>, una empresa del Grupo Indra en México</w:t>
      </w:r>
    </w:p>
    <w:p w14:paraId="2DB8230A" w14:textId="77777777" w:rsidR="00FF6DDC" w:rsidRDefault="00FF6DDC">
      <w:pPr>
        <w:rPr>
          <w:i/>
          <w:color w:val="000000"/>
        </w:rPr>
      </w:pPr>
    </w:p>
    <w:p w14:paraId="0C250383" w14:textId="77777777" w:rsidR="00FF6DDC" w:rsidRDefault="00000000">
      <w:pPr>
        <w:rPr>
          <w:color w:val="000000"/>
        </w:rPr>
      </w:pPr>
      <w:r>
        <w:rPr>
          <w:color w:val="000000"/>
        </w:rPr>
        <w:t xml:space="preserve">Abrir la puerta a nuevas ideas y productos innovadores, disruptivos y enfocados principalmente en las necesidades de los clientes, no es una decisión sencilla para las empresas e instituciones financieras en México. Sin embargo, aquellos que han superado esos temores y dudas, y han afrontado el reto de transformarse, rara vez se han equivocado; y ahora están tomando una </w:t>
      </w:r>
      <w:proofErr w:type="gramStart"/>
      <w:r>
        <w:rPr>
          <w:color w:val="000000"/>
        </w:rPr>
        <w:t>opción alternativa</w:t>
      </w:r>
      <w:proofErr w:type="gramEnd"/>
      <w:r>
        <w:rPr>
          <w:color w:val="000000"/>
        </w:rPr>
        <w:t xml:space="preserve"> para llevar a sus organizaciones hacia una transformación diferente a la que tenían hace algunos años. </w:t>
      </w:r>
    </w:p>
    <w:p w14:paraId="03047A02" w14:textId="71CAF89C" w:rsidR="00FF6DDC" w:rsidRDefault="00000000">
      <w:pPr>
        <w:rPr>
          <w:color w:val="000000"/>
        </w:rPr>
      </w:pPr>
      <w:r>
        <w:rPr>
          <w:color w:val="000000"/>
        </w:rPr>
        <w:t xml:space="preserve">La adopción de nuevos conceptos de negocio y tecnologías innovadoras ha permitido que la industria de servicios financieros —antes considerada monolítica y renuente al cambio—se reinvente. Ahora, los bancos tradicionales ofrecen una amplia gama de productos digitales; mientras que </w:t>
      </w:r>
      <w:proofErr w:type="spellStart"/>
      <w:r>
        <w:rPr>
          <w:color w:val="000000"/>
        </w:rPr>
        <w:t>Fintechs</w:t>
      </w:r>
      <w:proofErr w:type="spellEnd"/>
      <w:r>
        <w:rPr>
          <w:color w:val="000000"/>
        </w:rPr>
        <w:t xml:space="preserve">, </w:t>
      </w:r>
      <w:proofErr w:type="spellStart"/>
      <w:r>
        <w:rPr>
          <w:color w:val="000000"/>
        </w:rPr>
        <w:t>Neobancos</w:t>
      </w:r>
      <w:proofErr w:type="spellEnd"/>
      <w:r>
        <w:rPr>
          <w:color w:val="000000"/>
        </w:rPr>
        <w:t xml:space="preserve">, e </w:t>
      </w:r>
      <w:proofErr w:type="spellStart"/>
      <w:r>
        <w:rPr>
          <w:color w:val="000000"/>
        </w:rPr>
        <w:t>Insurtechs</w:t>
      </w:r>
      <w:proofErr w:type="spellEnd"/>
      <w:r>
        <w:rPr>
          <w:color w:val="000000"/>
        </w:rPr>
        <w:t xml:space="preserve"> brindan soluciones financieras móviles, de fácil acceso y con productos </w:t>
      </w:r>
      <w:proofErr w:type="spellStart"/>
      <w:r>
        <w:rPr>
          <w:color w:val="000000"/>
        </w:rPr>
        <w:t>hiperpersonalizados</w:t>
      </w:r>
      <w:proofErr w:type="spellEnd"/>
      <w:r>
        <w:rPr>
          <w:color w:val="000000"/>
        </w:rPr>
        <w:t xml:space="preserve">. Además, empresas de otros sectores —como </w:t>
      </w:r>
      <w:proofErr w:type="spellStart"/>
      <w:r>
        <w:rPr>
          <w:color w:val="000000"/>
        </w:rPr>
        <w:t>retail</w:t>
      </w:r>
      <w:proofErr w:type="spellEnd"/>
      <w:r>
        <w:rPr>
          <w:color w:val="000000"/>
        </w:rPr>
        <w:t xml:space="preserve">, comercio electrónico, energía, movilidad, </w:t>
      </w:r>
      <w:r w:rsidR="00385714">
        <w:rPr>
          <w:color w:val="000000"/>
        </w:rPr>
        <w:t>salud, telecomunicaciones</w:t>
      </w:r>
      <w:r>
        <w:rPr>
          <w:color w:val="000000"/>
        </w:rPr>
        <w:t>, entre otras— están comenzando a ofrecer productos financieros a sus clientes, a través de microcréditos, pagos digitales, tarjetas de crédito, billeteras digitales, etc.</w:t>
      </w:r>
    </w:p>
    <w:p w14:paraId="5DC941CB" w14:textId="77777777" w:rsidR="00FF6DDC" w:rsidRDefault="00000000">
      <w:pPr>
        <w:rPr>
          <w:color w:val="000000"/>
        </w:rPr>
      </w:pPr>
      <w:r>
        <w:rPr>
          <w:color w:val="000000"/>
        </w:rPr>
        <w:t>Esta transformación del sector financiero va más allá de una mera actualización superficial; está acompañada de una estrategia clara de hacia dónde llevar a la empresa, así como de una fuerte inversión en recursos financieros y capital humano. La apuesta por la innovación y transformación de la industria de servicios financieros se refleja en una mayor capacidad y rapidez para crear productos digitales innovadores, los cuales están centrados en el cliente, son de apertura inmediata y generan nuevas fuentes de ingresos para las entidades financieras y de otras industrias. También se traduce en mejores estrategias para atraer a un mayor número de clientes, especialmente entre aquellas personas que, históricamente, no ha sido fácil incorporar al sistema financiero tradicional, contribuyendo así a la inclusión financiera en el país.</w:t>
      </w:r>
    </w:p>
    <w:p w14:paraId="0CEDE2E4" w14:textId="7865F768" w:rsidR="00FF6DDC" w:rsidRDefault="00000000">
      <w:pPr>
        <w:rPr>
          <w:color w:val="000000"/>
        </w:rPr>
      </w:pPr>
      <w:r>
        <w:rPr>
          <w:color w:val="000000"/>
        </w:rPr>
        <w:t xml:space="preserve">En ese sentido, vale la pena señalar </w:t>
      </w:r>
      <w:r w:rsidR="00385714">
        <w:rPr>
          <w:color w:val="000000"/>
        </w:rPr>
        <w:t>que,</w:t>
      </w:r>
      <w:r>
        <w:rPr>
          <w:color w:val="000000"/>
        </w:rPr>
        <w:t xml:space="preserve"> durante 2024, se reportó que el número de usuarios de servicios financieros digitales en México creció 35%, alcanzando la cifra de más de 45 millones de usuarios. Además, un informe del Banco de México destacó que las transacciones realizadas a través de aplicaciones Fintech superaron los $200,000 millones de pesos, lo que representa un aumento del 50% con respecto al año anterior.</w:t>
      </w:r>
    </w:p>
    <w:p w14:paraId="555A5282" w14:textId="4B5BE273" w:rsidR="00FF6DDC" w:rsidRDefault="00000000">
      <w:pPr>
        <w:rPr>
          <w:color w:val="000000"/>
        </w:rPr>
      </w:pPr>
      <w:r>
        <w:rPr>
          <w:color w:val="000000"/>
        </w:rPr>
        <w:t>Así, ya no se trata sólo de cuestionar si el sector financiero ha sido innovador, sino de analizar si la puerta a la innovación está lo suficientemente abierta como para maximizar los beneficios y dar apertura a nuevos jugadores en el mercado.</w:t>
      </w:r>
    </w:p>
    <w:p w14:paraId="217C30E3" w14:textId="7AD152A1" w:rsidR="00FF6DDC" w:rsidRPr="00385714" w:rsidRDefault="00000000">
      <w:pPr>
        <w:rPr>
          <w:b/>
          <w:color w:val="000000"/>
        </w:rPr>
      </w:pPr>
      <w:r>
        <w:rPr>
          <w:b/>
          <w:color w:val="000000"/>
        </w:rPr>
        <w:t>Compartir información para transformar una industria</w:t>
      </w:r>
    </w:p>
    <w:p w14:paraId="346C33C8" w14:textId="77777777" w:rsidR="00FF6DDC" w:rsidRDefault="00000000">
      <w:pPr>
        <w:rPr>
          <w:color w:val="000000"/>
        </w:rPr>
      </w:pPr>
      <w:r>
        <w:rPr>
          <w:color w:val="000000"/>
        </w:rPr>
        <w:t xml:space="preserve">En términos sencillos, Open </w:t>
      </w:r>
      <w:proofErr w:type="spellStart"/>
      <w:r>
        <w:rPr>
          <w:color w:val="000000"/>
        </w:rPr>
        <w:t>Finance</w:t>
      </w:r>
      <w:proofErr w:type="spellEnd"/>
      <w:r>
        <w:rPr>
          <w:color w:val="000000"/>
        </w:rPr>
        <w:t xml:space="preserve"> se refiere a un entorno financiero en el que las diversas entidades (bancos, </w:t>
      </w:r>
      <w:proofErr w:type="spellStart"/>
      <w:r>
        <w:rPr>
          <w:color w:val="000000"/>
        </w:rPr>
        <w:t>Fintechs</w:t>
      </w:r>
      <w:proofErr w:type="spellEnd"/>
      <w:r>
        <w:rPr>
          <w:color w:val="000000"/>
        </w:rPr>
        <w:t xml:space="preserve">, </w:t>
      </w:r>
      <w:proofErr w:type="spellStart"/>
      <w:r>
        <w:rPr>
          <w:color w:val="000000"/>
        </w:rPr>
        <w:t>Neobancos</w:t>
      </w:r>
      <w:proofErr w:type="spellEnd"/>
      <w:r>
        <w:rPr>
          <w:color w:val="000000"/>
        </w:rPr>
        <w:t>, aseguradoras y empresas de otros sectores) pueden compartir información de los clientes -como transacciones, ingresos, historial crediticio, inversiones y otros datos relevantes- para alcanzar distintos objetivos. Uno de los más valiosos: usar los datos para crear -con mayor velocidad- productos y servicios financieros fuertemente personalizados, es decir, alineados a las características, capacidades y necesidades de cada individuo.</w:t>
      </w:r>
    </w:p>
    <w:p w14:paraId="360B45CA" w14:textId="77777777" w:rsidR="00FF6DDC" w:rsidRDefault="00000000">
      <w:pPr>
        <w:rPr>
          <w:color w:val="000000"/>
        </w:rPr>
      </w:pPr>
      <w:r>
        <w:rPr>
          <w:color w:val="000000"/>
        </w:rPr>
        <w:t>Bajo este modelo, las diferentes entidades comparten la información a través de Interfaces de programación de aplicaciones (</w:t>
      </w:r>
      <w:proofErr w:type="spellStart"/>
      <w:r>
        <w:rPr>
          <w:color w:val="000000"/>
        </w:rPr>
        <w:t>APIs</w:t>
      </w:r>
      <w:proofErr w:type="spellEnd"/>
      <w:r>
        <w:rPr>
          <w:color w:val="000000"/>
        </w:rPr>
        <w:t>, por sus siglas en inglés); y el proceso de compartir los datos -obligadamente- debe ser autorizado por el consumidor, cuya información, además, tiene que ser protegida con los máximos estándares de seguridad y privacidad.</w:t>
      </w:r>
    </w:p>
    <w:p w14:paraId="698130D2" w14:textId="77777777" w:rsidR="00FF6DDC" w:rsidRDefault="00000000">
      <w:pPr>
        <w:rPr>
          <w:color w:val="000000"/>
        </w:rPr>
      </w:pPr>
      <w:r>
        <w:rPr>
          <w:color w:val="000000"/>
        </w:rPr>
        <w:t>Un consumidor mejor atendido, a través de una oferta más oportuna y personalizada, es un detonante de valor para toda la industria financiera, ya que el sector deja de ser un ámbito que se percibe como poco accesible e inflexible.</w:t>
      </w:r>
    </w:p>
    <w:p w14:paraId="1697CDC2" w14:textId="77777777" w:rsidR="00FF6DDC" w:rsidRDefault="00FF6DDC">
      <w:pPr>
        <w:rPr>
          <w:color w:val="000000"/>
        </w:rPr>
      </w:pPr>
    </w:p>
    <w:p w14:paraId="6DDA572F" w14:textId="1F0B2847" w:rsidR="00FF6DDC" w:rsidRPr="00385714" w:rsidRDefault="00000000">
      <w:pPr>
        <w:rPr>
          <w:b/>
          <w:color w:val="000000"/>
        </w:rPr>
      </w:pPr>
      <w:r>
        <w:rPr>
          <w:b/>
          <w:color w:val="000000"/>
        </w:rPr>
        <w:t>Una oportunidad que no se debe desaprovechar</w:t>
      </w:r>
    </w:p>
    <w:p w14:paraId="42E20F33" w14:textId="56692476" w:rsidR="00FF6DDC" w:rsidRPr="00B922B8" w:rsidRDefault="00000000">
      <w:pPr>
        <w:rPr>
          <w:strike/>
          <w:color w:val="000000"/>
        </w:rPr>
      </w:pPr>
      <w:r>
        <w:rPr>
          <w:color w:val="000000"/>
        </w:rPr>
        <w:t xml:space="preserve">Aunque su trascendencia parece bien identificada, el modelo de finanzas abiertas es una oportunidad innovadora que en países como México aún necesita tiempo para afianzarse.En el avance de esta tendencia, el </w:t>
      </w:r>
      <w:hyperlink r:id="rId6">
        <w:r w:rsidR="00FF6DDC">
          <w:rPr>
            <w:color w:val="000000"/>
            <w:u w:val="single"/>
          </w:rPr>
          <w:t>desafío</w:t>
        </w:r>
      </w:hyperlink>
      <w:r>
        <w:rPr>
          <w:color w:val="000000"/>
        </w:rPr>
        <w:t xml:space="preserve"> principal se encuentra en los factores regulatorios -aspectos como definición de estándares para el intercambio de información, criterios de gobernanza, normas de seguridad y privacidad de los datos, entre otros. </w:t>
      </w:r>
    </w:p>
    <w:p w14:paraId="756DE048" w14:textId="77777777" w:rsidR="00FF6DDC" w:rsidRDefault="00000000">
      <w:pPr>
        <w:rPr>
          <w:color w:val="000000"/>
        </w:rPr>
      </w:pPr>
      <w:r>
        <w:rPr>
          <w:color w:val="000000"/>
        </w:rPr>
        <w:lastRenderedPageBreak/>
        <w:t xml:space="preserve">Al observar el caso de México, se verá que la regulación que incide en el ámbito de las finanzas abiertas muestra algunos progresos. Sin embargo, el proceso de concretar un marco regulatorio definitivo parece avanzar a un ritmo pausado. En ese sentido, es importante que los actores clave -sector financiero (tradicional y de nueva generación), autoridades y entes reguladores- sigan trabajando en conjunto para liberar el potencial pleno del Open </w:t>
      </w:r>
      <w:proofErr w:type="spellStart"/>
      <w:r>
        <w:rPr>
          <w:color w:val="000000"/>
        </w:rPr>
        <w:t>Finance</w:t>
      </w:r>
      <w:proofErr w:type="spellEnd"/>
      <w:r>
        <w:rPr>
          <w:color w:val="000000"/>
        </w:rPr>
        <w:t xml:space="preserve">, una tendencia innovadora que, dadas las características de la economía mexicana, puede tener un impacto sumamente trascendente para empresas y consumidores.  </w:t>
      </w:r>
    </w:p>
    <w:p w14:paraId="1342124F" w14:textId="77777777" w:rsidR="00FF6DDC" w:rsidRDefault="00000000">
      <w:pPr>
        <w:rPr>
          <w:color w:val="000000"/>
        </w:rPr>
      </w:pPr>
      <w:r>
        <w:rPr>
          <w:color w:val="000000"/>
        </w:rPr>
        <w:t xml:space="preserve">A manera de ejemplo, pensemos en un usuario que sólo usa servicios financieros (ahorro o crédito) dotados por una empresa del sector de </w:t>
      </w:r>
      <w:proofErr w:type="spellStart"/>
      <w:r>
        <w:rPr>
          <w:color w:val="000000"/>
        </w:rPr>
        <w:t>retail</w:t>
      </w:r>
      <w:proofErr w:type="spellEnd"/>
      <w:r>
        <w:rPr>
          <w:color w:val="000000"/>
        </w:rPr>
        <w:t xml:space="preserve"> o comercio electrónico, éstas se quedarán cortas respecto al abanico de diferentes productos y soluciones que se le pueden ofrecer. </w:t>
      </w:r>
    </w:p>
    <w:p w14:paraId="68C526C1" w14:textId="77777777" w:rsidR="00FF6DDC" w:rsidRDefault="00000000">
      <w:pPr>
        <w:rPr>
          <w:color w:val="000000"/>
        </w:rPr>
      </w:pPr>
      <w:r>
        <w:rPr>
          <w:color w:val="000000"/>
        </w:rPr>
        <w:t xml:space="preserve">En el contexto del caso anterior, imaginemos que la organización de </w:t>
      </w:r>
      <w:proofErr w:type="spellStart"/>
      <w:r>
        <w:rPr>
          <w:color w:val="000000"/>
        </w:rPr>
        <w:t>retail</w:t>
      </w:r>
      <w:proofErr w:type="spellEnd"/>
      <w:r>
        <w:rPr>
          <w:color w:val="000000"/>
        </w:rPr>
        <w:t xml:space="preserve"> se asocia con banco, permitiendo que ambas entidades compartan información de forma rápida y sencilla. Los datos que comparten (ingresos, historial de pago, hábitos, frecuencia de consumo, etc.), que además pueden ser analizados por una solución integral de datos o de Inteligencia Artificial, podrían revelar que, a través de una oferta personalizada, el consumidor puede acceder a un nuevo servicio financiero, como un seguro de gastos médicos (ofrecido por el banco, o en alianza con la empresa de </w:t>
      </w:r>
      <w:proofErr w:type="spellStart"/>
      <w:r>
        <w:rPr>
          <w:color w:val="000000"/>
        </w:rPr>
        <w:t>retail</w:t>
      </w:r>
      <w:proofErr w:type="spellEnd"/>
      <w:r>
        <w:rPr>
          <w:color w:val="000000"/>
        </w:rPr>
        <w:t>), algún tipo de inversión o simplemente una oferta más customizada a sus necesidades. En ese sentido, no se debe olvidar un reto asociado a la inclusión financiera en México: que las personas no sólo se sumen al segmento de población bancarizada, sino que también conozcan y aprovechen los distintos productos financieros que pueden tener un impacto positivo en sus vidas.</w:t>
      </w:r>
    </w:p>
    <w:p w14:paraId="6E6CB3F2" w14:textId="77777777" w:rsidR="00FF6DDC" w:rsidRDefault="00000000">
      <w:pPr>
        <w:rPr>
          <w:color w:val="000000"/>
        </w:rPr>
      </w:pPr>
      <w:r>
        <w:rPr>
          <w:color w:val="000000"/>
        </w:rPr>
        <w:t xml:space="preserve">Para las organizaciones financieras mexicanas interesadas en sumarse a la tendencia del Open </w:t>
      </w:r>
      <w:proofErr w:type="spellStart"/>
      <w:r>
        <w:rPr>
          <w:color w:val="000000"/>
        </w:rPr>
        <w:t>Finance</w:t>
      </w:r>
      <w:proofErr w:type="spellEnd"/>
      <w:r>
        <w:rPr>
          <w:color w:val="000000"/>
        </w:rPr>
        <w:t>, la presencia de Minsait en el país representa otra clara ventaja. En el ámbito de las finanzas abiertas, Minsait es el único proveedor que puede ofrecer una solución de principio a fin (</w:t>
      </w:r>
      <w:proofErr w:type="spellStart"/>
      <w:r>
        <w:rPr>
          <w:color w:val="000000"/>
        </w:rPr>
        <w:t>End-to-End</w:t>
      </w:r>
      <w:proofErr w:type="spellEnd"/>
      <w:r>
        <w:rPr>
          <w:color w:val="000000"/>
        </w:rPr>
        <w:t xml:space="preserve">), abarcando, entre otros, los aspectos de planeación, definición de estrategia, implementación y desarrollo de tecnología, metodologías, experiencia del usuario y aspectos regulatorios. En todos estos factores, la compañía tiene una amplia y probada experiencia ganada en los proyectos que ha encabezado en </w:t>
      </w:r>
      <w:hyperlink r:id="rId7">
        <w:r w:rsidR="00FF6DDC">
          <w:rPr>
            <w:color w:val="000000"/>
            <w:u w:val="single"/>
          </w:rPr>
          <w:t>Europa</w:t>
        </w:r>
      </w:hyperlink>
      <w:r>
        <w:rPr>
          <w:color w:val="000000"/>
        </w:rPr>
        <w:t xml:space="preserve">, la región del mundo donde el modelo de Open </w:t>
      </w:r>
      <w:proofErr w:type="spellStart"/>
      <w:r>
        <w:rPr>
          <w:color w:val="000000"/>
        </w:rPr>
        <w:t>Finance</w:t>
      </w:r>
      <w:proofErr w:type="spellEnd"/>
      <w:r>
        <w:rPr>
          <w:color w:val="000000"/>
        </w:rPr>
        <w:t xml:space="preserve"> ha sido pionero y registra los mayores avances.</w:t>
      </w:r>
    </w:p>
    <w:p w14:paraId="5B403217" w14:textId="77777777" w:rsidR="00FF6DDC" w:rsidRDefault="00FF6DDC">
      <w:pPr>
        <w:rPr>
          <w:color w:val="000000"/>
        </w:rPr>
      </w:pPr>
    </w:p>
    <w:p w14:paraId="48CE7AD7" w14:textId="77777777" w:rsidR="00FF6DDC" w:rsidRDefault="00FF6DDC">
      <w:pPr>
        <w:ind w:right="282"/>
        <w:rPr>
          <w:b/>
          <w:color w:val="000000"/>
        </w:rPr>
      </w:pPr>
    </w:p>
    <w:p w14:paraId="344B65D2" w14:textId="77777777" w:rsidR="00FF6DDC" w:rsidRDefault="00000000">
      <w:pPr>
        <w:spacing w:before="0" w:after="0"/>
        <w:ind w:right="282"/>
        <w:rPr>
          <w:color w:val="000000"/>
        </w:rPr>
      </w:pPr>
      <w:bookmarkStart w:id="0" w:name="_gjdgxs" w:colFirst="0" w:colLast="0"/>
      <w:bookmarkEnd w:id="0"/>
      <w:r>
        <w:rPr>
          <w:color w:val="000000"/>
        </w:rPr>
        <w:t xml:space="preserve"> </w:t>
      </w:r>
    </w:p>
    <w:sectPr w:rsidR="00FF6DDC">
      <w:headerReference w:type="default" r:id="rId8"/>
      <w:headerReference w:type="first" r:id="rId9"/>
      <w:footerReference w:type="first" r:id="rId10"/>
      <w:pgSz w:w="11906" w:h="16838"/>
      <w:pgMar w:top="284" w:right="851" w:bottom="284" w:left="1134" w:header="709" w:footer="6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5E693" w14:textId="77777777" w:rsidR="00EE158D" w:rsidRDefault="00EE158D">
      <w:pPr>
        <w:spacing w:before="0" w:after="0"/>
      </w:pPr>
      <w:r>
        <w:separator/>
      </w:r>
    </w:p>
  </w:endnote>
  <w:endnote w:type="continuationSeparator" w:id="0">
    <w:p w14:paraId="38B1E11E" w14:textId="77777777" w:rsidR="00EE158D" w:rsidRDefault="00EE15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71049" w14:textId="77777777" w:rsidR="00FF6DDC" w:rsidRDefault="00FF6DDC">
    <w:pPr>
      <w:pBdr>
        <w:top w:val="nil"/>
        <w:left w:val="nil"/>
        <w:bottom w:val="nil"/>
        <w:right w:val="nil"/>
        <w:between w:val="nil"/>
      </w:pBdr>
      <w:tabs>
        <w:tab w:val="center" w:pos="4252"/>
        <w:tab w:val="right" w:pos="8504"/>
      </w:tabs>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37FB7" w14:textId="77777777" w:rsidR="00EE158D" w:rsidRDefault="00EE158D">
      <w:pPr>
        <w:spacing w:before="0" w:after="0"/>
      </w:pPr>
      <w:r>
        <w:separator/>
      </w:r>
    </w:p>
  </w:footnote>
  <w:footnote w:type="continuationSeparator" w:id="0">
    <w:p w14:paraId="23CDC3EB" w14:textId="77777777" w:rsidR="00EE158D" w:rsidRDefault="00EE15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5677E" w14:textId="77777777" w:rsidR="00FF6DDC" w:rsidRDefault="00FF6DDC">
    <w:pPr>
      <w:widowControl w:val="0"/>
      <w:pBdr>
        <w:top w:val="nil"/>
        <w:left w:val="nil"/>
        <w:bottom w:val="nil"/>
        <w:right w:val="nil"/>
        <w:between w:val="nil"/>
      </w:pBdr>
      <w:spacing w:before="0" w:after="0" w:line="276" w:lineRule="auto"/>
      <w:jc w:val="left"/>
      <w:rPr>
        <w:color w:val="000000"/>
      </w:rPr>
    </w:pPr>
  </w:p>
  <w:tbl>
    <w:tblPr>
      <w:tblStyle w:val="a"/>
      <w:tblW w:w="6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6"/>
      <w:gridCol w:w="3307"/>
    </w:tblGrid>
    <w:tr w:rsidR="00FF6DDC" w14:paraId="1F7C499F" w14:textId="77777777">
      <w:trPr>
        <w:trHeight w:val="1"/>
      </w:trPr>
      <w:tc>
        <w:tcPr>
          <w:tcW w:w="3306" w:type="dxa"/>
          <w:tcBorders>
            <w:top w:val="nil"/>
            <w:left w:val="nil"/>
            <w:bottom w:val="nil"/>
            <w:right w:val="nil"/>
          </w:tcBorders>
        </w:tcPr>
        <w:p w14:paraId="231FF90F" w14:textId="77777777" w:rsidR="00FF6DDC" w:rsidRDefault="00000000">
          <w:pPr>
            <w:spacing w:before="160"/>
          </w:pPr>
          <w:r>
            <w:rPr>
              <w:noProof/>
            </w:rPr>
            <mc:AlternateContent>
              <mc:Choice Requires="wpg">
                <w:drawing>
                  <wp:inline distT="0" distB="0" distL="0" distR="0" wp14:anchorId="4799DE4C" wp14:editId="74F1E851">
                    <wp:extent cx="2009140" cy="191135"/>
                    <wp:effectExtent l="0" t="0" r="0" b="0"/>
                    <wp:docPr id="1" name="Group 1"/>
                    <wp:cNvGraphicFramePr/>
                    <a:graphic xmlns:a="http://schemas.openxmlformats.org/drawingml/2006/main">
                      <a:graphicData uri="http://schemas.microsoft.com/office/word/2010/wordprocessingGroup">
                        <wpg:wgp>
                          <wpg:cNvGrpSpPr/>
                          <wpg:grpSpPr>
                            <a:xfrm>
                              <a:off x="0" y="0"/>
                              <a:ext cx="2009140" cy="191135"/>
                              <a:chOff x="4341425" y="3684425"/>
                              <a:chExt cx="2009150" cy="191150"/>
                            </a:xfrm>
                          </wpg:grpSpPr>
                          <wpg:grpSp>
                            <wpg:cNvPr id="1548901310" name="Group 1548901310"/>
                            <wpg:cNvGrpSpPr/>
                            <wpg:grpSpPr>
                              <a:xfrm>
                                <a:off x="4341430" y="3684433"/>
                                <a:ext cx="2009140" cy="191135"/>
                                <a:chOff x="0" y="0"/>
                                <a:chExt cx="6318" cy="602"/>
                              </a:xfrm>
                            </wpg:grpSpPr>
                            <wps:wsp>
                              <wps:cNvPr id="1798479860" name="Rectangle 1798479860"/>
                              <wps:cNvSpPr/>
                              <wps:spPr>
                                <a:xfrm>
                                  <a:off x="0" y="0"/>
                                  <a:ext cx="6300" cy="600"/>
                                </a:xfrm>
                                <a:prstGeom prst="rect">
                                  <a:avLst/>
                                </a:prstGeom>
                                <a:noFill/>
                                <a:ln>
                                  <a:noFill/>
                                </a:ln>
                              </wps:spPr>
                              <wps:txbx>
                                <w:txbxContent>
                                  <w:p w14:paraId="7F6A5C0A" w14:textId="77777777" w:rsidR="00FF6DDC" w:rsidRDefault="00FF6DDC">
                                    <w:pPr>
                                      <w:spacing w:before="0" w:after="0"/>
                                      <w:jc w:val="left"/>
                                      <w:textDirection w:val="btLr"/>
                                    </w:pPr>
                                  </w:p>
                                </w:txbxContent>
                              </wps:txbx>
                              <wps:bodyPr spcFirstLastPara="1" wrap="square" lIns="91425" tIns="91425" rIns="91425" bIns="91425" anchor="ctr" anchorCtr="0">
                                <a:noAutofit/>
                              </wps:bodyPr>
                            </wps:wsp>
                            <wps:wsp>
                              <wps:cNvPr id="2135031632" name="Freeform 2135031632"/>
                              <wps:cNvSpPr/>
                              <wps:spPr>
                                <a:xfrm>
                                  <a:off x="0" y="346"/>
                                  <a:ext cx="1122" cy="256"/>
                                </a:xfrm>
                                <a:custGeom>
                                  <a:avLst/>
                                  <a:gdLst/>
                                  <a:ahLst/>
                                  <a:cxnLst/>
                                  <a:rect l="l" t="t" r="r" b="b"/>
                                  <a:pathLst>
                                    <a:path w="1126" h="257" extrusionOk="0">
                                      <a:moveTo>
                                        <a:pt x="0" y="248"/>
                                      </a:moveTo>
                                      <a:cubicBezTo>
                                        <a:pt x="33" y="257"/>
                                        <a:pt x="33" y="257"/>
                                        <a:pt x="33" y="257"/>
                                      </a:cubicBezTo>
                                      <a:cubicBezTo>
                                        <a:pt x="33" y="257"/>
                                        <a:pt x="439" y="133"/>
                                        <a:pt x="563" y="124"/>
                                      </a:cubicBezTo>
                                      <a:cubicBezTo>
                                        <a:pt x="687" y="133"/>
                                        <a:pt x="1093" y="257"/>
                                        <a:pt x="1093" y="257"/>
                                      </a:cubicBezTo>
                                      <a:cubicBezTo>
                                        <a:pt x="1126" y="248"/>
                                        <a:pt x="1126" y="248"/>
                                        <a:pt x="1126" y="248"/>
                                      </a:cubicBezTo>
                                      <a:cubicBezTo>
                                        <a:pt x="1126" y="248"/>
                                        <a:pt x="773" y="5"/>
                                        <a:pt x="563" y="0"/>
                                      </a:cubicBezTo>
                                      <a:cubicBezTo>
                                        <a:pt x="353" y="5"/>
                                        <a:pt x="0" y="248"/>
                                        <a:pt x="0" y="248"/>
                                      </a:cubicBezTo>
                                    </a:path>
                                  </a:pathLst>
                                </a:custGeom>
                                <a:solidFill>
                                  <a:srgbClr val="4F062A"/>
                                </a:solidFill>
                                <a:ln>
                                  <a:noFill/>
                                </a:ln>
                              </wps:spPr>
                              <wps:txbx>
                                <w:txbxContent>
                                  <w:p w14:paraId="4AC4C1F9" w14:textId="77777777" w:rsidR="00FF6DDC" w:rsidRDefault="00FF6DDC">
                                    <w:pPr>
                                      <w:spacing w:before="0" w:after="0"/>
                                      <w:jc w:val="left"/>
                                      <w:textDirection w:val="btLr"/>
                                    </w:pPr>
                                  </w:p>
                                </w:txbxContent>
                              </wps:txbx>
                              <wps:bodyPr spcFirstLastPara="1" wrap="square" lIns="91425" tIns="91425" rIns="91425" bIns="91425" anchor="ctr" anchorCtr="0">
                                <a:noAutofit/>
                              </wps:bodyPr>
                            </wps:wsp>
                            <wps:wsp>
                              <wps:cNvPr id="1569089510" name="Freeform 1569089510"/>
                              <wps:cNvSpPr/>
                              <wps:spPr>
                                <a:xfrm>
                                  <a:off x="0" y="0"/>
                                  <a:ext cx="1122" cy="256"/>
                                </a:xfrm>
                                <a:custGeom>
                                  <a:avLst/>
                                  <a:gdLst/>
                                  <a:ahLst/>
                                  <a:cxnLst/>
                                  <a:rect l="l" t="t" r="r" b="b"/>
                                  <a:pathLst>
                                    <a:path w="1126" h="257" extrusionOk="0">
                                      <a:moveTo>
                                        <a:pt x="1126" y="9"/>
                                      </a:moveTo>
                                      <a:cubicBezTo>
                                        <a:pt x="1093" y="0"/>
                                        <a:pt x="1093" y="0"/>
                                        <a:pt x="1093" y="0"/>
                                      </a:cubicBezTo>
                                      <a:cubicBezTo>
                                        <a:pt x="1093" y="0"/>
                                        <a:pt x="687" y="124"/>
                                        <a:pt x="563" y="133"/>
                                      </a:cubicBezTo>
                                      <a:cubicBezTo>
                                        <a:pt x="439" y="124"/>
                                        <a:pt x="33" y="0"/>
                                        <a:pt x="33" y="0"/>
                                      </a:cubicBezTo>
                                      <a:cubicBezTo>
                                        <a:pt x="0" y="9"/>
                                        <a:pt x="0" y="9"/>
                                        <a:pt x="0" y="9"/>
                                      </a:cubicBezTo>
                                      <a:cubicBezTo>
                                        <a:pt x="0" y="9"/>
                                        <a:pt x="353" y="252"/>
                                        <a:pt x="563" y="257"/>
                                      </a:cubicBezTo>
                                      <a:cubicBezTo>
                                        <a:pt x="773" y="252"/>
                                        <a:pt x="1126" y="9"/>
                                        <a:pt x="1126" y="9"/>
                                      </a:cubicBezTo>
                                    </a:path>
                                  </a:pathLst>
                                </a:custGeom>
                                <a:solidFill>
                                  <a:srgbClr val="4F062A"/>
                                </a:solidFill>
                                <a:ln>
                                  <a:noFill/>
                                </a:ln>
                              </wps:spPr>
                              <wps:txbx>
                                <w:txbxContent>
                                  <w:p w14:paraId="6307B17B" w14:textId="77777777" w:rsidR="00FF6DDC" w:rsidRDefault="00FF6DDC">
                                    <w:pPr>
                                      <w:spacing w:before="0" w:after="0"/>
                                      <w:jc w:val="left"/>
                                      <w:textDirection w:val="btLr"/>
                                    </w:pPr>
                                  </w:p>
                                </w:txbxContent>
                              </wps:txbx>
                              <wps:bodyPr spcFirstLastPara="1" wrap="square" lIns="91425" tIns="91425" rIns="91425" bIns="91425" anchor="ctr" anchorCtr="0">
                                <a:noAutofit/>
                              </wps:bodyPr>
                            </wps:wsp>
                            <wps:wsp>
                              <wps:cNvPr id="666200378" name="Freeform 666200378"/>
                              <wps:cNvSpPr/>
                              <wps:spPr>
                                <a:xfrm>
                                  <a:off x="1436" y="37"/>
                                  <a:ext cx="4882" cy="542"/>
                                </a:xfrm>
                                <a:custGeom>
                                  <a:avLst/>
                                  <a:gdLst/>
                                  <a:ahLst/>
                                  <a:cxnLst/>
                                  <a:rect l="l" t="t" r="r" b="b"/>
                                  <a:pathLst>
                                    <a:path w="4897" h="544" extrusionOk="0">
                                      <a:moveTo>
                                        <a:pt x="176" y="121"/>
                                      </a:moveTo>
                                      <a:cubicBezTo>
                                        <a:pt x="145" y="121"/>
                                        <a:pt x="145" y="121"/>
                                        <a:pt x="145" y="121"/>
                                      </a:cubicBezTo>
                                      <a:cubicBezTo>
                                        <a:pt x="145" y="544"/>
                                        <a:pt x="145" y="544"/>
                                        <a:pt x="145" y="544"/>
                                      </a:cubicBezTo>
                                      <a:cubicBezTo>
                                        <a:pt x="0" y="544"/>
                                        <a:pt x="0" y="544"/>
                                        <a:pt x="0" y="544"/>
                                      </a:cubicBezTo>
                                      <a:cubicBezTo>
                                        <a:pt x="0" y="0"/>
                                        <a:pt x="0" y="0"/>
                                        <a:pt x="0" y="0"/>
                                      </a:cubicBezTo>
                                      <a:cubicBezTo>
                                        <a:pt x="267" y="0"/>
                                        <a:pt x="267" y="0"/>
                                        <a:pt x="267" y="0"/>
                                      </a:cubicBezTo>
                                      <a:cubicBezTo>
                                        <a:pt x="398" y="312"/>
                                        <a:pt x="398" y="312"/>
                                        <a:pt x="398" y="312"/>
                                      </a:cubicBezTo>
                                      <a:cubicBezTo>
                                        <a:pt x="445" y="312"/>
                                        <a:pt x="445" y="312"/>
                                        <a:pt x="445" y="312"/>
                                      </a:cubicBezTo>
                                      <a:cubicBezTo>
                                        <a:pt x="576" y="0"/>
                                        <a:pt x="576" y="0"/>
                                        <a:pt x="576" y="0"/>
                                      </a:cubicBezTo>
                                      <a:cubicBezTo>
                                        <a:pt x="842" y="0"/>
                                        <a:pt x="842" y="0"/>
                                        <a:pt x="842" y="0"/>
                                      </a:cubicBezTo>
                                      <a:cubicBezTo>
                                        <a:pt x="842" y="544"/>
                                        <a:pt x="842" y="544"/>
                                        <a:pt x="842" y="544"/>
                                      </a:cubicBezTo>
                                      <a:cubicBezTo>
                                        <a:pt x="698" y="544"/>
                                        <a:pt x="698" y="544"/>
                                        <a:pt x="698" y="544"/>
                                      </a:cubicBezTo>
                                      <a:cubicBezTo>
                                        <a:pt x="698" y="121"/>
                                        <a:pt x="698" y="121"/>
                                        <a:pt x="698" y="121"/>
                                      </a:cubicBezTo>
                                      <a:cubicBezTo>
                                        <a:pt x="667" y="121"/>
                                        <a:pt x="667" y="121"/>
                                        <a:pt x="667" y="121"/>
                                      </a:cubicBezTo>
                                      <a:cubicBezTo>
                                        <a:pt x="530" y="433"/>
                                        <a:pt x="530" y="433"/>
                                        <a:pt x="530" y="433"/>
                                      </a:cubicBezTo>
                                      <a:cubicBezTo>
                                        <a:pt x="313" y="433"/>
                                        <a:pt x="313" y="433"/>
                                        <a:pt x="313" y="433"/>
                                      </a:cubicBezTo>
                                      <a:lnTo>
                                        <a:pt x="176" y="121"/>
                                      </a:lnTo>
                                      <a:close/>
                                      <a:moveTo>
                                        <a:pt x="1014" y="0"/>
                                      </a:moveTo>
                                      <a:cubicBezTo>
                                        <a:pt x="1158" y="0"/>
                                        <a:pt x="1158" y="0"/>
                                        <a:pt x="1158" y="0"/>
                                      </a:cubicBezTo>
                                      <a:cubicBezTo>
                                        <a:pt x="1158" y="544"/>
                                        <a:pt x="1158" y="544"/>
                                        <a:pt x="1158" y="544"/>
                                      </a:cubicBezTo>
                                      <a:cubicBezTo>
                                        <a:pt x="1014" y="544"/>
                                        <a:pt x="1014" y="544"/>
                                        <a:pt x="1014" y="544"/>
                                      </a:cubicBezTo>
                                      <a:lnTo>
                                        <a:pt x="1014" y="0"/>
                                      </a:lnTo>
                                      <a:close/>
                                      <a:moveTo>
                                        <a:pt x="1329" y="0"/>
                                      </a:moveTo>
                                      <a:cubicBezTo>
                                        <a:pt x="1588" y="0"/>
                                        <a:pt x="1588" y="0"/>
                                        <a:pt x="1588" y="0"/>
                                      </a:cubicBezTo>
                                      <a:cubicBezTo>
                                        <a:pt x="1871" y="423"/>
                                        <a:pt x="1871" y="423"/>
                                        <a:pt x="1871" y="423"/>
                                      </a:cubicBezTo>
                                      <a:cubicBezTo>
                                        <a:pt x="1903" y="423"/>
                                        <a:pt x="1903" y="423"/>
                                        <a:pt x="1903" y="423"/>
                                      </a:cubicBezTo>
                                      <a:cubicBezTo>
                                        <a:pt x="1903" y="0"/>
                                        <a:pt x="1903" y="0"/>
                                        <a:pt x="1903" y="0"/>
                                      </a:cubicBezTo>
                                      <a:cubicBezTo>
                                        <a:pt x="2047" y="0"/>
                                        <a:pt x="2047" y="0"/>
                                        <a:pt x="2047" y="0"/>
                                      </a:cubicBezTo>
                                      <a:cubicBezTo>
                                        <a:pt x="2047" y="544"/>
                                        <a:pt x="2047" y="544"/>
                                        <a:pt x="2047" y="544"/>
                                      </a:cubicBezTo>
                                      <a:cubicBezTo>
                                        <a:pt x="1788" y="544"/>
                                        <a:pt x="1788" y="544"/>
                                        <a:pt x="1788" y="544"/>
                                      </a:cubicBezTo>
                                      <a:cubicBezTo>
                                        <a:pt x="1505" y="121"/>
                                        <a:pt x="1505" y="121"/>
                                        <a:pt x="1505" y="121"/>
                                      </a:cubicBezTo>
                                      <a:cubicBezTo>
                                        <a:pt x="1474" y="121"/>
                                        <a:pt x="1474" y="121"/>
                                        <a:pt x="1474" y="121"/>
                                      </a:cubicBezTo>
                                      <a:cubicBezTo>
                                        <a:pt x="1474" y="544"/>
                                        <a:pt x="1474" y="544"/>
                                        <a:pt x="1474" y="544"/>
                                      </a:cubicBezTo>
                                      <a:cubicBezTo>
                                        <a:pt x="1329" y="544"/>
                                        <a:pt x="1329" y="544"/>
                                        <a:pt x="1329" y="544"/>
                                      </a:cubicBezTo>
                                      <a:lnTo>
                                        <a:pt x="1329" y="0"/>
                                      </a:lnTo>
                                      <a:close/>
                                      <a:moveTo>
                                        <a:pt x="2203" y="544"/>
                                      </a:moveTo>
                                      <a:cubicBezTo>
                                        <a:pt x="2203" y="423"/>
                                        <a:pt x="2203" y="423"/>
                                        <a:pt x="2203" y="423"/>
                                      </a:cubicBezTo>
                                      <a:cubicBezTo>
                                        <a:pt x="2714" y="423"/>
                                        <a:pt x="2714" y="423"/>
                                        <a:pt x="2714" y="423"/>
                                      </a:cubicBezTo>
                                      <a:cubicBezTo>
                                        <a:pt x="2744" y="423"/>
                                        <a:pt x="2761" y="406"/>
                                        <a:pt x="2761" y="376"/>
                                      </a:cubicBezTo>
                                      <a:cubicBezTo>
                                        <a:pt x="2761" y="345"/>
                                        <a:pt x="2744" y="328"/>
                                        <a:pt x="2714" y="328"/>
                                      </a:cubicBezTo>
                                      <a:cubicBezTo>
                                        <a:pt x="2371" y="328"/>
                                        <a:pt x="2371" y="328"/>
                                        <a:pt x="2371" y="328"/>
                                      </a:cubicBezTo>
                                      <a:cubicBezTo>
                                        <a:pt x="2256" y="328"/>
                                        <a:pt x="2187" y="267"/>
                                        <a:pt x="2187" y="164"/>
                                      </a:cubicBezTo>
                                      <a:cubicBezTo>
                                        <a:pt x="2187" y="61"/>
                                        <a:pt x="2256" y="0"/>
                                        <a:pt x="2371" y="0"/>
                                      </a:cubicBezTo>
                                      <a:cubicBezTo>
                                        <a:pt x="2871" y="0"/>
                                        <a:pt x="2871" y="0"/>
                                        <a:pt x="2871" y="0"/>
                                      </a:cubicBezTo>
                                      <a:cubicBezTo>
                                        <a:pt x="2871" y="121"/>
                                        <a:pt x="2871" y="121"/>
                                        <a:pt x="2871" y="121"/>
                                      </a:cubicBezTo>
                                      <a:cubicBezTo>
                                        <a:pt x="2371" y="121"/>
                                        <a:pt x="2371" y="121"/>
                                        <a:pt x="2371" y="121"/>
                                      </a:cubicBezTo>
                                      <a:cubicBezTo>
                                        <a:pt x="2344" y="121"/>
                                        <a:pt x="2328" y="137"/>
                                        <a:pt x="2328" y="164"/>
                                      </a:cubicBezTo>
                                      <a:cubicBezTo>
                                        <a:pt x="2328" y="191"/>
                                        <a:pt x="2344" y="207"/>
                                        <a:pt x="2371" y="207"/>
                                      </a:cubicBezTo>
                                      <a:cubicBezTo>
                                        <a:pt x="2714" y="207"/>
                                        <a:pt x="2714" y="207"/>
                                        <a:pt x="2714" y="207"/>
                                      </a:cubicBezTo>
                                      <a:cubicBezTo>
                                        <a:pt x="2832" y="207"/>
                                        <a:pt x="2902" y="270"/>
                                        <a:pt x="2902" y="376"/>
                                      </a:cubicBezTo>
                                      <a:cubicBezTo>
                                        <a:pt x="2902" y="481"/>
                                        <a:pt x="2832" y="544"/>
                                        <a:pt x="2714" y="544"/>
                                      </a:cubicBezTo>
                                      <a:lnTo>
                                        <a:pt x="2203" y="544"/>
                                      </a:lnTo>
                                      <a:close/>
                                      <a:moveTo>
                                        <a:pt x="2964" y="541"/>
                                      </a:moveTo>
                                      <a:cubicBezTo>
                                        <a:pt x="3288" y="0"/>
                                        <a:pt x="3288" y="0"/>
                                        <a:pt x="3288" y="0"/>
                                      </a:cubicBezTo>
                                      <a:cubicBezTo>
                                        <a:pt x="3493" y="0"/>
                                        <a:pt x="3493" y="0"/>
                                        <a:pt x="3493" y="0"/>
                                      </a:cubicBezTo>
                                      <a:cubicBezTo>
                                        <a:pt x="3818" y="541"/>
                                        <a:pt x="3818" y="541"/>
                                        <a:pt x="3818" y="541"/>
                                      </a:cubicBezTo>
                                      <a:cubicBezTo>
                                        <a:pt x="3818" y="544"/>
                                        <a:pt x="3818" y="544"/>
                                        <a:pt x="3818" y="544"/>
                                      </a:cubicBezTo>
                                      <a:cubicBezTo>
                                        <a:pt x="3657" y="544"/>
                                        <a:pt x="3657" y="544"/>
                                        <a:pt x="3657" y="544"/>
                                      </a:cubicBezTo>
                                      <a:cubicBezTo>
                                        <a:pt x="3598" y="443"/>
                                        <a:pt x="3598" y="443"/>
                                        <a:pt x="3598" y="443"/>
                                      </a:cubicBezTo>
                                      <a:cubicBezTo>
                                        <a:pt x="3183" y="443"/>
                                        <a:pt x="3183" y="443"/>
                                        <a:pt x="3183" y="443"/>
                                      </a:cubicBezTo>
                                      <a:cubicBezTo>
                                        <a:pt x="3125" y="544"/>
                                        <a:pt x="3125" y="544"/>
                                        <a:pt x="3125" y="544"/>
                                      </a:cubicBezTo>
                                      <a:cubicBezTo>
                                        <a:pt x="2964" y="544"/>
                                        <a:pt x="2964" y="544"/>
                                        <a:pt x="2964" y="544"/>
                                      </a:cubicBezTo>
                                      <a:lnTo>
                                        <a:pt x="2964" y="541"/>
                                      </a:lnTo>
                                      <a:close/>
                                      <a:moveTo>
                                        <a:pt x="3529" y="322"/>
                                      </a:moveTo>
                                      <a:cubicBezTo>
                                        <a:pt x="3414" y="121"/>
                                        <a:pt x="3414" y="121"/>
                                        <a:pt x="3414" y="121"/>
                                      </a:cubicBezTo>
                                      <a:cubicBezTo>
                                        <a:pt x="3367" y="121"/>
                                        <a:pt x="3367" y="121"/>
                                        <a:pt x="3367" y="121"/>
                                      </a:cubicBezTo>
                                      <a:cubicBezTo>
                                        <a:pt x="3252" y="322"/>
                                        <a:pt x="3252" y="322"/>
                                        <a:pt x="3252" y="322"/>
                                      </a:cubicBezTo>
                                      <a:lnTo>
                                        <a:pt x="3529" y="322"/>
                                      </a:lnTo>
                                      <a:close/>
                                      <a:moveTo>
                                        <a:pt x="3931" y="0"/>
                                      </a:moveTo>
                                      <a:cubicBezTo>
                                        <a:pt x="4076" y="0"/>
                                        <a:pt x="4076" y="0"/>
                                        <a:pt x="4076" y="0"/>
                                      </a:cubicBezTo>
                                      <a:cubicBezTo>
                                        <a:pt x="4076" y="544"/>
                                        <a:pt x="4076" y="544"/>
                                        <a:pt x="4076" y="544"/>
                                      </a:cubicBezTo>
                                      <a:cubicBezTo>
                                        <a:pt x="3931" y="544"/>
                                        <a:pt x="3931" y="544"/>
                                        <a:pt x="3931" y="544"/>
                                      </a:cubicBezTo>
                                      <a:lnTo>
                                        <a:pt x="3931" y="0"/>
                                      </a:lnTo>
                                      <a:close/>
                                      <a:moveTo>
                                        <a:pt x="4475" y="121"/>
                                      </a:moveTo>
                                      <a:cubicBezTo>
                                        <a:pt x="4197" y="121"/>
                                        <a:pt x="4197" y="121"/>
                                        <a:pt x="4197" y="121"/>
                                      </a:cubicBezTo>
                                      <a:cubicBezTo>
                                        <a:pt x="4197" y="0"/>
                                        <a:pt x="4197" y="0"/>
                                        <a:pt x="4197" y="0"/>
                                      </a:cubicBezTo>
                                      <a:cubicBezTo>
                                        <a:pt x="4897" y="0"/>
                                        <a:pt x="4897" y="0"/>
                                        <a:pt x="4897" y="0"/>
                                      </a:cubicBezTo>
                                      <a:cubicBezTo>
                                        <a:pt x="4897" y="121"/>
                                        <a:pt x="4897" y="121"/>
                                        <a:pt x="4897" y="121"/>
                                      </a:cubicBezTo>
                                      <a:cubicBezTo>
                                        <a:pt x="4619" y="121"/>
                                        <a:pt x="4619" y="121"/>
                                        <a:pt x="4619" y="121"/>
                                      </a:cubicBezTo>
                                      <a:cubicBezTo>
                                        <a:pt x="4619" y="544"/>
                                        <a:pt x="4619" y="544"/>
                                        <a:pt x="4619" y="544"/>
                                      </a:cubicBezTo>
                                      <a:cubicBezTo>
                                        <a:pt x="4475" y="544"/>
                                        <a:pt x="4475" y="544"/>
                                        <a:pt x="4475" y="544"/>
                                      </a:cubicBezTo>
                                      <a:lnTo>
                                        <a:pt x="4475" y="121"/>
                                      </a:lnTo>
                                      <a:close/>
                                    </a:path>
                                  </a:pathLst>
                                </a:custGeom>
                                <a:solidFill>
                                  <a:srgbClr val="4F062A"/>
                                </a:solidFill>
                                <a:ln>
                                  <a:noFill/>
                                </a:ln>
                              </wps:spPr>
                              <wps:txbx>
                                <w:txbxContent>
                                  <w:p w14:paraId="197D34FD" w14:textId="77777777" w:rsidR="00FF6DDC" w:rsidRDefault="00FF6DDC">
                                    <w:pPr>
                                      <w:spacing w:before="0" w:after="0"/>
                                      <w:jc w:val="left"/>
                                      <w:textDirection w:val="btLr"/>
                                    </w:pPr>
                                  </w:p>
                                </w:txbxContent>
                              </wps:txbx>
                              <wps:bodyPr spcFirstLastPara="1" wrap="square" lIns="91425" tIns="91425" rIns="91425" bIns="91425" anchor="ctr" anchorCtr="0">
                                <a:noAutofit/>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inline distB="0" distT="0" distL="0" distR="0">
                    <wp:extent cx="2009140" cy="191135"/>
                    <wp:effectExtent b="0" l="0" r="0" 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009140" cy="191135"/>
                            </a:xfrm>
                            <a:prstGeom prst="rect"/>
                            <a:ln/>
                          </pic:spPr>
                        </pic:pic>
                      </a:graphicData>
                    </a:graphic>
                  </wp:inline>
                </w:drawing>
              </mc:Fallback>
            </mc:AlternateContent>
          </w:r>
        </w:p>
      </w:tc>
      <w:tc>
        <w:tcPr>
          <w:tcW w:w="3307" w:type="dxa"/>
          <w:tcBorders>
            <w:top w:val="nil"/>
            <w:left w:val="nil"/>
            <w:bottom w:val="nil"/>
            <w:right w:val="nil"/>
          </w:tcBorders>
        </w:tcPr>
        <w:p w14:paraId="1CA27557" w14:textId="77777777" w:rsidR="00FF6DDC" w:rsidRDefault="00FF6DDC">
          <w:pPr>
            <w:spacing w:before="160"/>
          </w:pPr>
        </w:p>
      </w:tc>
    </w:tr>
  </w:tbl>
  <w:p w14:paraId="7E212962" w14:textId="77777777" w:rsidR="00FF6DDC" w:rsidRDefault="00FF6DDC">
    <w:pPr>
      <w:pBdr>
        <w:top w:val="nil"/>
        <w:left w:val="nil"/>
        <w:bottom w:val="nil"/>
        <w:right w:val="nil"/>
        <w:between w:val="nil"/>
      </w:pBdr>
      <w:tabs>
        <w:tab w:val="center" w:pos="4252"/>
        <w:tab w:val="right" w:pos="85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21950" w14:textId="77777777" w:rsidR="00FF6DDC" w:rsidRDefault="00FF6DDC">
    <w:pPr>
      <w:pBdr>
        <w:top w:val="nil"/>
        <w:left w:val="nil"/>
        <w:bottom w:val="nil"/>
        <w:right w:val="nil"/>
        <w:between w:val="nil"/>
      </w:pBdr>
      <w:tabs>
        <w:tab w:val="center" w:pos="4252"/>
        <w:tab w:val="right" w:pos="8504"/>
      </w:tabs>
    </w:pPr>
  </w:p>
  <w:p w14:paraId="13A1DF8B" w14:textId="77777777" w:rsidR="00FF6DDC" w:rsidRDefault="00FF6DDC">
    <w:pPr>
      <w:pBdr>
        <w:top w:val="nil"/>
        <w:left w:val="nil"/>
        <w:bottom w:val="nil"/>
        <w:right w:val="nil"/>
        <w:between w:val="nil"/>
      </w:pBdr>
      <w:tabs>
        <w:tab w:val="center" w:pos="4252"/>
        <w:tab w:val="right"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DDC"/>
    <w:rsid w:val="00327DD2"/>
    <w:rsid w:val="00385714"/>
    <w:rsid w:val="005F7FB2"/>
    <w:rsid w:val="00687173"/>
    <w:rsid w:val="007F4134"/>
    <w:rsid w:val="00851566"/>
    <w:rsid w:val="00AF2DAE"/>
    <w:rsid w:val="00B922B8"/>
    <w:rsid w:val="00C94509"/>
    <w:rsid w:val="00E775C0"/>
    <w:rsid w:val="00ED51BE"/>
    <w:rsid w:val="00EE158D"/>
    <w:rsid w:val="00FB08C9"/>
    <w:rsid w:val="00FF6DDC"/>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decimalSymbol w:val="."/>
  <w:listSeparator w:val=","/>
  <w14:docId w14:val="4CF7A684"/>
  <w15:docId w15:val="{13A02AB8-67A5-3D45-B8EC-4D0D2463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4F062A"/>
        <w:lang w:val="es-E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ageBreakBefore/>
      <w:spacing w:before="0" w:after="240"/>
      <w:ind w:left="431" w:hanging="431"/>
      <w:jc w:val="left"/>
      <w:outlineLvl w:val="0"/>
    </w:pPr>
    <w:rPr>
      <w:sz w:val="32"/>
      <w:szCs w:val="32"/>
    </w:rPr>
  </w:style>
  <w:style w:type="paragraph" w:styleId="Heading2">
    <w:name w:val="heading 2"/>
    <w:basedOn w:val="Normal"/>
    <w:next w:val="Normal"/>
    <w:uiPriority w:val="9"/>
    <w:semiHidden/>
    <w:unhideWhenUsed/>
    <w:qFormat/>
    <w:pPr>
      <w:keepNext/>
      <w:keepLines/>
      <w:spacing w:before="360"/>
      <w:ind w:left="490" w:hanging="490"/>
      <w:outlineLvl w:val="1"/>
    </w:pPr>
    <w:rPr>
      <w:sz w:val="24"/>
      <w:szCs w:val="24"/>
    </w:rPr>
  </w:style>
  <w:style w:type="paragraph" w:styleId="Heading3">
    <w:name w:val="heading 3"/>
    <w:basedOn w:val="Normal"/>
    <w:next w:val="Normal"/>
    <w:uiPriority w:val="9"/>
    <w:semiHidden/>
    <w:unhideWhenUsed/>
    <w:qFormat/>
    <w:pPr>
      <w:keepNext/>
      <w:keepLines/>
      <w:spacing w:before="240"/>
      <w:ind w:left="630" w:hanging="630"/>
      <w:outlineLvl w:val="2"/>
    </w:pPr>
    <w:rPr>
      <w:sz w:val="22"/>
      <w:szCs w:val="22"/>
    </w:rPr>
  </w:style>
  <w:style w:type="paragraph" w:styleId="Heading4">
    <w:name w:val="heading 4"/>
    <w:basedOn w:val="Normal"/>
    <w:next w:val="Normal"/>
    <w:uiPriority w:val="9"/>
    <w:semiHidden/>
    <w:unhideWhenUsed/>
    <w:qFormat/>
    <w:pPr>
      <w:keepNext/>
      <w:keepLines/>
      <w:spacing w:before="200"/>
      <w:ind w:left="709" w:hanging="709"/>
      <w:outlineLvl w:val="3"/>
    </w:pPr>
    <w:rPr>
      <w:sz w:val="22"/>
      <w:szCs w:val="22"/>
    </w:rPr>
  </w:style>
  <w:style w:type="paragraph" w:styleId="Heading5">
    <w:name w:val="heading 5"/>
    <w:basedOn w:val="Normal"/>
    <w:next w:val="Normal"/>
    <w:uiPriority w:val="9"/>
    <w:semiHidden/>
    <w:unhideWhenUsed/>
    <w:qFormat/>
    <w:pPr>
      <w:keepNext/>
      <w:keepLines/>
      <w:spacing w:before="200"/>
      <w:ind w:left="851" w:hanging="851"/>
      <w:outlineLvl w:val="4"/>
    </w:pPr>
  </w:style>
  <w:style w:type="paragraph" w:styleId="Heading6">
    <w:name w:val="heading 6"/>
    <w:basedOn w:val="Normal"/>
    <w:next w:val="Normal"/>
    <w:uiPriority w:val="9"/>
    <w:semiHidden/>
    <w:unhideWhenUsed/>
    <w:qFormat/>
    <w:pPr>
      <w:keepNext/>
      <w:keepLines/>
      <w:spacing w:before="200"/>
      <w:ind w:left="1152" w:hanging="1152"/>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60" w:after="0"/>
      <w:ind w:right="55"/>
    </w:pPr>
    <w:rPr>
      <w:rFonts w:ascii="Georgia" w:eastAsia="Georgia" w:hAnsi="Georgia" w:cs="Georgia"/>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insait.com/es/actualidad/media-room/el-48-de-los-expertos-afirma-que-las-finanzas-abiertas-seran-un-model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tions.iadb.org/en/open-finance-latin-america-and-caribbean-great-opportunities-large-challeng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1105</Words>
  <Characters>6303</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Gaby Medina</cp:lastModifiedBy>
  <cp:revision>2</cp:revision>
  <dcterms:created xsi:type="dcterms:W3CDTF">2025-03-11T23:36:00Z</dcterms:created>
  <dcterms:modified xsi:type="dcterms:W3CDTF">2025-03-11T23:36:00Z</dcterms:modified>
</cp:coreProperties>
</file>